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1D" w:rsidRDefault="0000141D" w:rsidP="0000141D">
      <w:pPr>
        <w:autoSpaceDE w:val="0"/>
        <w:autoSpaceDN w:val="0"/>
        <w:adjustRightInd w:val="0"/>
        <w:spacing w:after="0" w:line="240" w:lineRule="auto"/>
        <w:rPr>
          <w:rFonts w:ascii="Default Sans&#10; Serif" w:hAnsi="Default Sans&#10; Serif" w:cs="Default Sans&#10; Serif"/>
          <w:b/>
          <w:bCs/>
          <w:color w:val="000000"/>
          <w:szCs w:val="20"/>
          <w:lang w:val="de-CH"/>
        </w:rPr>
      </w:pPr>
      <w:bookmarkStart w:id="0" w:name="_GoBack"/>
      <w:bookmarkEnd w:id="0"/>
      <w:r>
        <w:rPr>
          <w:rFonts w:ascii="Default Sans&#10; Serif" w:hAnsi="Default Sans&#10; Serif" w:cs="Default Sans&#10; Serif"/>
          <w:b/>
          <w:bCs/>
          <w:color w:val="000000"/>
          <w:szCs w:val="20"/>
          <w:lang w:val="de-CH"/>
        </w:rPr>
        <w:t>English</w:t>
      </w:r>
    </w:p>
    <w:p w:rsidR="0000141D" w:rsidRP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rPr>
      </w:pPr>
      <w:r w:rsidRPr="0000141D">
        <w:rPr>
          <w:rFonts w:ascii="Default Sans&#10; Serif" w:hAnsi="Default Sans&#10; Serif" w:cs="Default Sans&#10; Serif"/>
          <w:color w:val="000000"/>
          <w:szCs w:val="20"/>
        </w:rPr>
        <w:t>On 1 January 2016, the Federal Act on Financial Market Infrastructures and Market Conduct in Securities and Derivatives Trading (FMIA) as well as the corresponding ordinances (FMIO and FMIO-FINMA) came into force.</w:t>
      </w:r>
    </w:p>
    <w:p w:rsidR="0000141D" w:rsidRP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rPr>
      </w:pPr>
      <w:r w:rsidRPr="0000141D">
        <w:rPr>
          <w:rFonts w:ascii="Default Sans&#10; Serif" w:hAnsi="Default Sans&#10; Serif" w:cs="Default Sans&#10; Serif"/>
          <w:color w:val="000000"/>
          <w:szCs w:val="20"/>
        </w:rPr>
        <w:t xml:space="preserve">The Company </w:t>
      </w:r>
      <w:r w:rsidRPr="0000141D">
        <w:rPr>
          <w:rFonts w:ascii="Default Sans&#10; Serif" w:hAnsi="Default Sans&#10; Serif" w:cs="Default Sans&#10; Serif"/>
          <w:color w:val="FF0000"/>
          <w:szCs w:val="20"/>
        </w:rPr>
        <w:t xml:space="preserve">"ABC ltd" </w:t>
      </w:r>
      <w:r w:rsidRPr="0000141D">
        <w:rPr>
          <w:rFonts w:ascii="Default Sans&#10; Serif" w:hAnsi="Default Sans&#10; Serif" w:cs="Default Sans&#10; Serif"/>
          <w:color w:val="000000"/>
          <w:szCs w:val="20"/>
        </w:rPr>
        <w:t>is not regarded as a financial counterparty within the meaning of FMIA Article 93 lit. 2, and is therefore regarded as a non-financial counterparty within the meaning of FMIA Article 93 lit. 3.</w:t>
      </w:r>
    </w:p>
    <w:p w:rsidR="0000141D" w:rsidRP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rPr>
      </w:pPr>
      <w:r w:rsidRPr="0000141D">
        <w:rPr>
          <w:rFonts w:ascii="Default Sans&#10; Serif" w:hAnsi="Default Sans&#10; Serif" w:cs="Default Sans&#10; Serif"/>
          <w:color w:val="000000"/>
          <w:szCs w:val="20"/>
        </w:rPr>
        <w:t>The Board of Directors, within the meaning of FMIO Article 113 lit. 2, hereby resolves that the Company does not currently deal in derivatives, and does not intend to deal in derivatives in the future. On this basis, the Company is exempted from the duty to regulate in writing the processes with which it ensures fulfilment of the duties with respect to the trading of derivatives pursuant to FMIO Article 113 para. 1.</w:t>
      </w:r>
    </w:p>
    <w:p w:rsidR="0000141D" w:rsidRP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rPr>
      </w:pPr>
      <w:r w:rsidRPr="0000141D">
        <w:rPr>
          <w:rFonts w:ascii="Default Sans&#10; Serif" w:hAnsi="Default Sans&#10; Serif" w:cs="Default Sans&#10; Serif"/>
          <w:color w:val="000000"/>
          <w:szCs w:val="20"/>
        </w:rPr>
        <w:t xml:space="preserve">Should the Company intend to deal in derivatives in the future, the Board of Directors shall provide written information on the procedures for implementing the obligations for (a) settlement via a central counterparty in accordance with FMIA Article 97, (b) calculation of the Company's counterparty classification threshold according to FMIA Art. 100, (c.) reporting to a trade repository in accordance with FMIA Article 104 and FMIO Article 107, as well as (d) trading via </w:t>
      </w:r>
      <w:proofErr w:type="spellStart"/>
      <w:r w:rsidRPr="0000141D">
        <w:rPr>
          <w:rFonts w:ascii="Default Sans&#10; Serif" w:hAnsi="Default Sans&#10; Serif" w:cs="Default Sans&#10; Serif"/>
          <w:color w:val="000000"/>
          <w:szCs w:val="20"/>
        </w:rPr>
        <w:t>authorised</w:t>
      </w:r>
      <w:proofErr w:type="spellEnd"/>
      <w:r w:rsidRPr="0000141D">
        <w:rPr>
          <w:rFonts w:ascii="Default Sans&#10; Serif" w:hAnsi="Default Sans&#10; Serif" w:cs="Default Sans&#10; Serif"/>
          <w:color w:val="000000"/>
          <w:szCs w:val="20"/>
        </w:rPr>
        <w:t xml:space="preserve"> trading venues and organized trading systems in accordance with FMIA Art. 112.</w:t>
      </w:r>
    </w:p>
    <w:p w:rsidR="0000141D" w:rsidRPr="0000141D" w:rsidRDefault="0000141D" w:rsidP="0000141D">
      <w:pPr>
        <w:autoSpaceDE w:val="0"/>
        <w:autoSpaceDN w:val="0"/>
        <w:adjustRightInd w:val="0"/>
        <w:spacing w:after="0" w:line="240" w:lineRule="auto"/>
        <w:rPr>
          <w:rFonts w:ascii="Default Sans&#10; Serif" w:hAnsi="Default Sans&#10; Serif" w:cs="Default Sans&#10; Serif"/>
          <w:color w:val="000000"/>
          <w:szCs w:val="20"/>
        </w:rPr>
      </w:pPr>
    </w:p>
    <w:p w:rsidR="0000141D" w:rsidRDefault="0000141D" w:rsidP="0000141D">
      <w:pPr>
        <w:autoSpaceDE w:val="0"/>
        <w:autoSpaceDN w:val="0"/>
        <w:adjustRightInd w:val="0"/>
        <w:spacing w:after="0" w:line="240" w:lineRule="auto"/>
        <w:rPr>
          <w:rFonts w:ascii="Default Sans&#10; Serif" w:hAnsi="Default Sans&#10; Serif" w:cs="Default Sans&#10; Serif"/>
          <w:b/>
          <w:bCs/>
          <w:color w:val="000000"/>
          <w:szCs w:val="20"/>
          <w:lang w:val="de-CH"/>
        </w:rPr>
      </w:pPr>
    </w:p>
    <w:p w:rsidR="0000141D" w:rsidRDefault="0000141D" w:rsidP="0000141D">
      <w:pPr>
        <w:autoSpaceDE w:val="0"/>
        <w:autoSpaceDN w:val="0"/>
        <w:adjustRightInd w:val="0"/>
        <w:spacing w:after="0" w:line="240" w:lineRule="auto"/>
        <w:rPr>
          <w:rFonts w:ascii="Default Sans&#10; Serif" w:hAnsi="Default Sans&#10; Serif" w:cs="Default Sans&#10; Serif"/>
          <w:b/>
          <w:bCs/>
          <w:color w:val="000000"/>
          <w:szCs w:val="20"/>
          <w:lang w:val="de-CH"/>
        </w:rPr>
      </w:pPr>
      <w:r>
        <w:rPr>
          <w:rFonts w:ascii="Default Sans&#10; Serif" w:hAnsi="Default Sans&#10; Serif" w:cs="Default Sans&#10; Serif"/>
          <w:b/>
          <w:bCs/>
          <w:color w:val="000000"/>
          <w:szCs w:val="20"/>
          <w:lang w:val="de-CH"/>
        </w:rPr>
        <w:t>German</w:t>
      </w:r>
    </w:p>
    <w:p w:rsid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lang w:val="de-CH"/>
        </w:rPr>
      </w:pPr>
      <w:r>
        <w:rPr>
          <w:rFonts w:ascii="Default Sans&#10; Serif" w:hAnsi="Default Sans&#10; Serif" w:cs="Default Sans&#10; Serif"/>
          <w:color w:val="000000"/>
          <w:szCs w:val="20"/>
          <w:lang w:val="de-CH"/>
        </w:rPr>
        <w:t xml:space="preserve">Am 1. Januar 2016 sind das Bundesgesetz über die Finanzmarktinfrastrukturen und das Marktverhalten im Effekten- und Derivatehandel (FinfraG) sowie die entsprechenden Verordnungen FinfraV und FinfraV-FINMA in Kraft getreten. </w:t>
      </w:r>
    </w:p>
    <w:p w:rsid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lang w:val="de-CH"/>
        </w:rPr>
      </w:pPr>
      <w:r>
        <w:rPr>
          <w:rFonts w:ascii="Default Sans&#10; Serif" w:hAnsi="Default Sans&#10; Serif" w:cs="Default Sans&#10; Serif"/>
          <w:color w:val="000000"/>
          <w:szCs w:val="20"/>
          <w:lang w:val="de-CH"/>
        </w:rPr>
        <w:t xml:space="preserve">Die Gesellschaft </w:t>
      </w:r>
      <w:r>
        <w:rPr>
          <w:rFonts w:ascii="Default Sans&#10; Serif" w:hAnsi="Default Sans&#10; Serif" w:cs="Default Sans&#10; Serif"/>
          <w:color w:val="FF0000"/>
          <w:szCs w:val="20"/>
          <w:lang w:val="de-CH"/>
        </w:rPr>
        <w:t>"ABC AG"</w:t>
      </w:r>
      <w:r>
        <w:rPr>
          <w:rFonts w:ascii="Default Sans&#10; Serif" w:hAnsi="Default Sans&#10; Serif" w:cs="Default Sans&#10; Serif"/>
          <w:color w:val="000000"/>
          <w:szCs w:val="20"/>
          <w:lang w:val="de-CH"/>
        </w:rPr>
        <w:t xml:space="preserve"> gilt nicht als Finanzielle Gegenpartei im Sinne von Art. 93 Abs. 2 FinfraG und ist somit eine nicht Finanzielle Gegenpartei im Sinne von Art. 93 Abs. 3 FinfraG. </w:t>
      </w:r>
    </w:p>
    <w:p w:rsid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lang w:val="de-CH"/>
        </w:rPr>
      </w:pPr>
      <w:r>
        <w:rPr>
          <w:rFonts w:ascii="Default Sans&#10; Serif" w:hAnsi="Default Sans&#10; Serif" w:cs="Default Sans&#10; Serif"/>
          <w:color w:val="000000"/>
          <w:szCs w:val="20"/>
          <w:lang w:val="de-CH"/>
        </w:rPr>
        <w:t xml:space="preserve">Der Verwaltungsrat stellt im Sinne von Art. 113 Abs. 2 FinfraV fest, dass die Gesellschaft derzeit nicht mit Derivaten handelt und auch in Zukunft nicht mit Derivaten handeln will. Vor diesem Hintergrund verzichtet sie auf eine schriftliche Regelung der Abläufe im Derivatehandel gemäss Art. 113 Abs. 1 FinfraV. </w:t>
      </w:r>
    </w:p>
    <w:p w:rsid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lang w:val="de-CH"/>
        </w:rPr>
      </w:pPr>
      <w:r>
        <w:rPr>
          <w:rFonts w:ascii="Default Sans&#10; Serif" w:hAnsi="Default Sans&#10; Serif" w:cs="Default Sans&#10; Serif"/>
          <w:color w:val="000000"/>
          <w:szCs w:val="20"/>
          <w:lang w:val="de-CH"/>
        </w:rPr>
        <w:t xml:space="preserve">Sollte in Zukunft beabsichtigt werden, mit Derivaten zu handeln, so hat der Verwaltungsrat schriftlich die Abläufe zur Umsetzung der Pflichten zur (a.) Abrechnung über eine zentrale Gegenpartei (Art. 97 FinfraG), (b.) zur Ermittlung der Schwellenwerte (Art. 100 FinfraG), (c.) zur Meldung an ein Transaktionsregister (Art. 104 FinfraG); zur Risikominderung (Art. 107 FinfraG) sowie zum Handel über Handelsplätze und organisierte Handelssysteme (Art. 112 FinfraG) zu regeln. </w:t>
      </w:r>
    </w:p>
    <w:p w:rsidR="0000141D" w:rsidRDefault="0000141D" w:rsidP="0000141D">
      <w:pPr>
        <w:autoSpaceDE w:val="0"/>
        <w:autoSpaceDN w:val="0"/>
        <w:adjustRightInd w:val="0"/>
        <w:spacing w:after="0" w:line="240" w:lineRule="auto"/>
        <w:rPr>
          <w:rFonts w:ascii="Default Sans&#10; Serif" w:hAnsi="Default Sans&#10; Serif" w:cs="Default Sans&#10; Serif"/>
          <w:color w:val="000000"/>
          <w:szCs w:val="20"/>
          <w:lang w:val="de-CH"/>
        </w:rPr>
      </w:pPr>
    </w:p>
    <w:p w:rsidR="0000141D" w:rsidRDefault="0000141D" w:rsidP="0000141D">
      <w:pPr>
        <w:autoSpaceDE w:val="0"/>
        <w:autoSpaceDN w:val="0"/>
        <w:adjustRightInd w:val="0"/>
        <w:spacing w:after="0" w:line="240" w:lineRule="auto"/>
        <w:rPr>
          <w:rFonts w:ascii="Default Sans&#10; Serif" w:hAnsi="Default Sans&#10; Serif" w:cs="Default Sans&#10; Serif"/>
          <w:color w:val="000000"/>
          <w:szCs w:val="20"/>
          <w:lang w:val="de-CH"/>
        </w:rPr>
      </w:pPr>
    </w:p>
    <w:p w:rsidR="0000141D" w:rsidRDefault="0000141D" w:rsidP="0000141D">
      <w:pPr>
        <w:autoSpaceDE w:val="0"/>
        <w:autoSpaceDN w:val="0"/>
        <w:adjustRightInd w:val="0"/>
        <w:spacing w:after="0" w:line="240" w:lineRule="auto"/>
        <w:rPr>
          <w:rFonts w:ascii="Default Sans&#10; Serif" w:hAnsi="Default Sans&#10; Serif" w:cs="Default Sans&#10; Serif"/>
          <w:b/>
          <w:bCs/>
          <w:color w:val="000000"/>
          <w:szCs w:val="20"/>
          <w:lang w:val="de-CH"/>
        </w:rPr>
      </w:pPr>
      <w:r>
        <w:rPr>
          <w:rFonts w:ascii="Default Sans&#10; Serif" w:hAnsi="Default Sans&#10; Serif" w:cs="Default Sans&#10; Serif"/>
          <w:b/>
          <w:bCs/>
          <w:color w:val="000000"/>
          <w:szCs w:val="20"/>
          <w:lang w:val="de-CH"/>
        </w:rPr>
        <w:t>French</w:t>
      </w:r>
    </w:p>
    <w:p w:rsidR="0000141D" w:rsidRP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lang w:val="fr-CH"/>
        </w:rPr>
      </w:pPr>
      <w:r w:rsidRPr="0000141D">
        <w:rPr>
          <w:rFonts w:ascii="Default Sans&#10; Serif" w:hAnsi="Default Sans&#10; Serif" w:cs="Default Sans&#10; Serif"/>
          <w:color w:val="000000"/>
          <w:szCs w:val="20"/>
          <w:lang w:val="fr-CH"/>
        </w:rPr>
        <w:t xml:space="preserve">Le 1er janvier 2016, </w:t>
      </w:r>
      <w:r w:rsidRPr="0000141D">
        <w:rPr>
          <w:rFonts w:ascii="Default Sans&#10; Serif" w:hAnsi="Default Sans&#10; Serif" w:cs="Default Sans&#10; Serif"/>
          <w:color w:val="2F2F2F"/>
          <w:szCs w:val="20"/>
          <w:lang w:val="fr-CH"/>
        </w:rPr>
        <w:t xml:space="preserve">la </w:t>
      </w:r>
      <w:r w:rsidRPr="0000141D">
        <w:rPr>
          <w:rFonts w:ascii="Default Sans&#10; Serif" w:hAnsi="Default Sans&#10; Serif" w:cs="Default Sans&#10; Serif"/>
          <w:color w:val="000000"/>
          <w:szCs w:val="20"/>
          <w:lang w:val="fr-CH"/>
        </w:rPr>
        <w:t>loi fédérale sur les infrastructures des marchés financiers et le comportement sur le marché en matière de négociation de valeurs mobilières et de dérivés (LIMF) ainsi que les ordonnances correspondantes (OIMF, OIMF-FINMA) sont entrées en vigueur.</w:t>
      </w:r>
    </w:p>
    <w:p w:rsidR="0000141D" w:rsidRP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lang w:val="fr-CH"/>
        </w:rPr>
      </w:pPr>
      <w:r w:rsidRPr="0000141D">
        <w:rPr>
          <w:rFonts w:ascii="Default Sans&#10; Serif" w:hAnsi="Default Sans&#10; Serif" w:cs="Default Sans&#10; Serif"/>
          <w:color w:val="000000"/>
          <w:szCs w:val="20"/>
          <w:lang w:val="fr-CH"/>
        </w:rPr>
        <w:t xml:space="preserve">La Société </w:t>
      </w:r>
      <w:r w:rsidRPr="0000141D">
        <w:rPr>
          <w:rFonts w:ascii="Default Sans&#10; Serif" w:hAnsi="Default Sans&#10; Serif" w:cs="Default Sans&#10; Serif"/>
          <w:color w:val="FF0000"/>
          <w:szCs w:val="20"/>
          <w:lang w:val="fr-CH"/>
        </w:rPr>
        <w:t xml:space="preserve">"ABC SA" </w:t>
      </w:r>
      <w:r w:rsidRPr="0000141D">
        <w:rPr>
          <w:rFonts w:ascii="Default Sans&#10; Serif" w:hAnsi="Default Sans&#10; Serif" w:cs="Default Sans&#10; Serif"/>
          <w:color w:val="000000"/>
          <w:szCs w:val="20"/>
          <w:lang w:val="fr-CH"/>
        </w:rPr>
        <w:t>n’est pas considérée comme une contrepartie financière au sens de l’art. 93 al. 2 LIMF et est ainsi une contrepartie non financière au sens de l’art. 93 al. 3 LIMF.</w:t>
      </w:r>
    </w:p>
    <w:p w:rsid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lang w:val="fr-CH"/>
        </w:rPr>
      </w:pPr>
      <w:r w:rsidRPr="0000141D">
        <w:rPr>
          <w:rFonts w:ascii="Default Sans&#10; Serif" w:hAnsi="Default Sans&#10; Serif" w:cs="Default Sans&#10; Serif"/>
          <w:color w:val="000000"/>
          <w:szCs w:val="20"/>
          <w:lang w:val="fr-CH"/>
        </w:rPr>
        <w:t>Le Conseil d’administration constate, au sens de l’art. 113 al. 2 OIMF, que la Société ne négocie pas en l'état de dérivés et ne compte pas non plus en faire le négoce dans le futur. Compte tenu de ce qui précède, elle est exemptée de l'exigence d'</w:t>
      </w:r>
      <w:proofErr w:type="spellStart"/>
      <w:r w:rsidRPr="0000141D">
        <w:rPr>
          <w:rFonts w:ascii="Default Sans&#10; Serif" w:hAnsi="Default Sans&#10; Serif" w:cs="Default Sans&#10; Serif"/>
          <w:color w:val="000000"/>
          <w:szCs w:val="20"/>
          <w:lang w:val="fr-CH"/>
        </w:rPr>
        <w:t>établissemement</w:t>
      </w:r>
      <w:proofErr w:type="spellEnd"/>
      <w:r w:rsidRPr="0000141D">
        <w:rPr>
          <w:rFonts w:ascii="Default Sans&#10; Serif" w:hAnsi="Default Sans&#10; Serif" w:cs="Default Sans&#10; Serif"/>
          <w:color w:val="000000"/>
          <w:szCs w:val="20"/>
          <w:lang w:val="fr-CH"/>
        </w:rPr>
        <w:t xml:space="preserve"> d'une documentation écrite des processus de mise en </w:t>
      </w:r>
      <w:proofErr w:type="spellStart"/>
      <w:r w:rsidRPr="0000141D">
        <w:rPr>
          <w:rFonts w:ascii="Default Sans&#10; Serif" w:hAnsi="Default Sans&#10; Serif" w:cs="Default Sans&#10; Serif"/>
          <w:color w:val="000000"/>
          <w:szCs w:val="20"/>
          <w:lang w:val="fr-CH"/>
        </w:rPr>
        <w:t>oeuvre</w:t>
      </w:r>
      <w:proofErr w:type="spellEnd"/>
      <w:r w:rsidRPr="0000141D">
        <w:rPr>
          <w:rFonts w:ascii="Default Sans&#10; Serif" w:hAnsi="Default Sans&#10; Serif" w:cs="Default Sans&#10; Serif"/>
          <w:color w:val="000000"/>
          <w:szCs w:val="20"/>
          <w:lang w:val="fr-CH"/>
        </w:rPr>
        <w:t xml:space="preserve"> en matière de négoce de dérivés, selon l’art. 113 al. 1 OIMF</w:t>
      </w:r>
    </w:p>
    <w:p w:rsidR="00482A76" w:rsidRPr="0000141D" w:rsidRDefault="0000141D" w:rsidP="0000141D">
      <w:pPr>
        <w:numPr>
          <w:ilvl w:val="0"/>
          <w:numId w:val="1"/>
        </w:numPr>
        <w:autoSpaceDE w:val="0"/>
        <w:autoSpaceDN w:val="0"/>
        <w:adjustRightInd w:val="0"/>
        <w:spacing w:after="0" w:line="240" w:lineRule="auto"/>
        <w:ind w:left="284" w:hanging="284"/>
        <w:rPr>
          <w:rFonts w:ascii="Default Sans&#10; Serif" w:hAnsi="Default Sans&#10; Serif" w:cs="Default Sans&#10; Serif"/>
          <w:color w:val="000000"/>
          <w:szCs w:val="20"/>
          <w:lang w:val="fr-CH"/>
        </w:rPr>
      </w:pPr>
      <w:r w:rsidRPr="0000141D">
        <w:rPr>
          <w:rFonts w:ascii="Default Sans&#10; Serif" w:hAnsi="Default Sans&#10; Serif" w:cs="Default Sans&#10; Serif"/>
          <w:color w:val="000000"/>
          <w:szCs w:val="20"/>
          <w:lang w:val="fr-CH"/>
        </w:rPr>
        <w:t xml:space="preserve">Dans le cas où la Société envisage de négocier des dérivés dans le futur, le Conseil d’administration devra régler par écrit les processus par lesquels la Société assure la mise en </w:t>
      </w:r>
      <w:proofErr w:type="spellStart"/>
      <w:r w:rsidRPr="0000141D">
        <w:rPr>
          <w:rFonts w:ascii="Default Sans&#10; Serif" w:hAnsi="Default Sans&#10; Serif" w:cs="Default Sans&#10; Serif"/>
          <w:color w:val="000000"/>
          <w:szCs w:val="20"/>
          <w:lang w:val="fr-CH"/>
        </w:rPr>
        <w:t>oeuvre</w:t>
      </w:r>
      <w:proofErr w:type="spellEnd"/>
      <w:r w:rsidRPr="0000141D">
        <w:rPr>
          <w:rFonts w:ascii="Default Sans&#10; Serif" w:hAnsi="Default Sans&#10; Serif" w:cs="Default Sans&#10; Serif"/>
          <w:color w:val="000000"/>
          <w:szCs w:val="20"/>
          <w:lang w:val="fr-CH"/>
        </w:rPr>
        <w:t xml:space="preserve"> des obligations: (a.) de compenser par l’intermédiaire d’une contrepartie centrale (art. 97 LIMF), (b.) de fixer des seuils (art. 100 LIMF); (c.) de déclarer à un référentiel central (art. 104 LIMF); (d.) de réduire les risques (art. 107 LIMF), ainsi que (e.) de négocier sur des plates-formes ou des systèmes organisés de négociation (art. 112 LIMF).</w:t>
      </w:r>
    </w:p>
    <w:sectPr w:rsidR="00482A76" w:rsidRPr="0000141D" w:rsidSect="0000141D">
      <w:pgSz w:w="12240" w:h="15840"/>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fault Sans&#10; Serif">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AC14E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3"/>
    <w:rsid w:val="0000141D"/>
    <w:rsid w:val="002E67C7"/>
    <w:rsid w:val="00482A76"/>
    <w:rsid w:val="004C3593"/>
    <w:rsid w:val="005B5D13"/>
    <w:rsid w:val="006C56D1"/>
    <w:rsid w:val="009B43F8"/>
    <w:rsid w:val="00C4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F72A4-ADDC-4016-BBEC-17A52AC5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Wüest</dc:creator>
  <cp:keywords/>
  <dc:description/>
  <cp:lastModifiedBy>Cüneyt Budakoglu</cp:lastModifiedBy>
  <cp:revision>2</cp:revision>
  <dcterms:created xsi:type="dcterms:W3CDTF">2017-11-09T12:16:00Z</dcterms:created>
  <dcterms:modified xsi:type="dcterms:W3CDTF">2017-11-09T12:16:00Z</dcterms:modified>
</cp:coreProperties>
</file>